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936DF" w14:textId="6CA82868" w:rsidR="00DF56C7" w:rsidRDefault="00DF56C7">
      <w:pPr>
        <w:rPr>
          <w:rtl/>
        </w:rPr>
      </w:pPr>
    </w:p>
    <w:p w14:paraId="3B8419DF" w14:textId="57368515" w:rsidR="0048633E" w:rsidRDefault="0048633E" w:rsidP="00DF56C7">
      <w:pPr>
        <w:pStyle w:val="MDPI31text"/>
        <w:ind w:left="0" w:firstLine="86"/>
        <w:rPr>
          <w:b/>
          <w:bCs/>
          <w:color w:val="0D0D0D" w:themeColor="text1" w:themeTint="F2"/>
        </w:rPr>
      </w:pPr>
      <w:r>
        <w:rPr>
          <w:noProof/>
        </w:rPr>
        <w:drawing>
          <wp:inline distT="0" distB="0" distL="0" distR="0" wp14:anchorId="6B6EB756" wp14:editId="0A231F69">
            <wp:extent cx="5760720" cy="5102225"/>
            <wp:effectExtent l="0" t="0" r="0" b="3175"/>
            <wp:docPr id="20840448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B8AC" w14:textId="7B926D9D" w:rsidR="00DF56C7" w:rsidRPr="00190508" w:rsidRDefault="00DF56C7" w:rsidP="00DF56C7">
      <w:pPr>
        <w:pStyle w:val="MDPI31text"/>
        <w:ind w:left="0" w:firstLine="86"/>
        <w:rPr>
          <w:color w:val="0D0D0D" w:themeColor="text1" w:themeTint="F2"/>
        </w:rPr>
      </w:pPr>
      <w:r w:rsidRPr="00190508">
        <w:rPr>
          <w:b/>
          <w:bCs/>
          <w:color w:val="0D0D0D" w:themeColor="text1" w:themeTint="F2"/>
        </w:rPr>
        <w:t>Figure 11.</w:t>
      </w:r>
      <w:r w:rsidRPr="00190508">
        <w:rPr>
          <w:color w:val="0D0D0D" w:themeColor="text1" w:themeTint="F2"/>
        </w:rPr>
        <w:t xml:space="preserve"> Coupled </w:t>
      </w:r>
      <w:proofErr w:type="spellStart"/>
      <w:r w:rsidRPr="00190508">
        <w:rPr>
          <w:color w:val="0D0D0D" w:themeColor="text1" w:themeTint="F2"/>
        </w:rPr>
        <w:t>spatio</w:t>
      </w:r>
      <w:proofErr w:type="spellEnd"/>
      <w:r w:rsidRPr="00190508">
        <w:rPr>
          <w:color w:val="0D0D0D" w:themeColor="text1" w:themeTint="F2"/>
        </w:rPr>
        <w:t>-temporal evolution of NDVI and irrigated areas in the Guercif Plain 1985–2020, based on satellite imagery</w:t>
      </w:r>
    </w:p>
    <w:p w14:paraId="422BDE9A" w14:textId="3D6FBD52" w:rsidR="00D2095F" w:rsidRPr="00DF56C7" w:rsidRDefault="00D2095F">
      <w:pPr>
        <w:rPr>
          <w:lang w:val="en-US"/>
        </w:rPr>
      </w:pPr>
    </w:p>
    <w:sectPr w:rsidR="00D2095F" w:rsidRPr="00DF56C7" w:rsidSect="00EF5C2C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6C7"/>
    <w:rsid w:val="001E3A52"/>
    <w:rsid w:val="0020048B"/>
    <w:rsid w:val="0048633E"/>
    <w:rsid w:val="00A25C47"/>
    <w:rsid w:val="00D2095F"/>
    <w:rsid w:val="00DC2C84"/>
    <w:rsid w:val="00DF56C7"/>
    <w:rsid w:val="00EF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CE10A5"/>
  <w15:chartTrackingRefBased/>
  <w15:docId w15:val="{971D8582-BCAA-4B3C-B6FC-998961C0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F56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56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F56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56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56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56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56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56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56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56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F56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F56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F56C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F56C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F56C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F56C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F56C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F56C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F56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F5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F56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F56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F56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F56C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F56C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F56C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F56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F56C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F56C7"/>
    <w:rPr>
      <w:b/>
      <w:bCs/>
      <w:smallCaps/>
      <w:color w:val="0F4761" w:themeColor="accent1" w:themeShade="BF"/>
      <w:spacing w:val="5"/>
    </w:rPr>
  </w:style>
  <w:style w:type="paragraph" w:customStyle="1" w:styleId="MDPI31text">
    <w:name w:val="MDPI_3.1_text"/>
    <w:qFormat/>
    <w:rsid w:val="00DF56C7"/>
    <w:pPr>
      <w:suppressAutoHyphens/>
      <w:snapToGrid w:val="0"/>
      <w:spacing w:after="0" w:line="280" w:lineRule="atLeast"/>
      <w:ind w:left="2608" w:firstLine="425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Lamfaddal EL HANI</dc:creator>
  <cp:keywords/>
  <dc:description/>
  <cp:lastModifiedBy>Lamfaddal EL HANI</cp:lastModifiedBy>
  <cp:revision>2</cp:revision>
  <dcterms:created xsi:type="dcterms:W3CDTF">2026-05-02T13:04:00Z</dcterms:created>
  <dcterms:modified xsi:type="dcterms:W3CDTF">2026-05-02T13:50:00Z</dcterms:modified>
</cp:coreProperties>
</file>